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o:targetscreensize="800,600">
      <v:fill color2="#9cf" focus="100%" type="gradientRadial">
        <o:fill v:ext="view" type="gradientCenter"/>
      </v:fill>
    </v:background>
  </w:background>
  <w:body>
    <w:p w:rsidR="00097477" w:rsidRPr="00332082" w:rsidRDefault="00B5592A" w:rsidP="004F4640">
      <w:pPr>
        <w:jc w:val="center"/>
        <w:rPr>
          <w:rFonts w:ascii="Times New Roman" w:hAnsi="Times New Roman" w:cs="Times New Roman"/>
          <w:b/>
          <w:shadow/>
          <w:sz w:val="28"/>
          <w:szCs w:val="24"/>
          <w:lang w:val="mn-MN"/>
        </w:rPr>
      </w:pPr>
      <w:r w:rsidRPr="00332082">
        <w:rPr>
          <w:rFonts w:ascii="Times New Roman" w:hAnsi="Times New Roman" w:cs="Times New Roman"/>
          <w:b/>
          <w:shadow/>
          <w:noProof/>
          <w:sz w:val="28"/>
          <w:szCs w:val="24"/>
        </w:rPr>
        <w:drawing>
          <wp:anchor distT="0" distB="0" distL="114300" distR="114300" simplePos="0" relativeHeight="251658240" behindDoc="1" locked="0" layoutInCell="1" allowOverlap="1">
            <wp:simplePos x="0" y="0"/>
            <wp:positionH relativeFrom="column">
              <wp:posOffset>-57785</wp:posOffset>
            </wp:positionH>
            <wp:positionV relativeFrom="paragraph">
              <wp:posOffset>-43180</wp:posOffset>
            </wp:positionV>
            <wp:extent cx="998220" cy="601980"/>
            <wp:effectExtent l="133350" t="114300" r="316230" b="312420"/>
            <wp:wrapNone/>
            <wp:docPr id="1" name="Picture 1" descr="LOGO-GECM.png"/>
            <wp:cNvGraphicFramePr/>
            <a:graphic xmlns:a="http://schemas.openxmlformats.org/drawingml/2006/main">
              <a:graphicData uri="http://schemas.openxmlformats.org/drawingml/2006/picture">
                <pic:pic xmlns:pic="http://schemas.openxmlformats.org/drawingml/2006/picture">
                  <pic:nvPicPr>
                    <pic:cNvPr id="4" name="Picture 3" descr="LOGO-GECM.png"/>
                    <pic:cNvPicPr>
                      <a:picLocks noChangeAspect="1"/>
                    </pic:cNvPicPr>
                  </pic:nvPicPr>
                  <pic:blipFill>
                    <a:blip r:embed="rId4" cstate="print"/>
                    <a:stretch>
                      <a:fillRect/>
                    </a:stretch>
                  </pic:blipFill>
                  <pic:spPr>
                    <a:xfrm>
                      <a:off x="0" y="0"/>
                      <a:ext cx="998220" cy="601980"/>
                    </a:xfrm>
                    <a:prstGeom prst="rect">
                      <a:avLst/>
                    </a:prstGeom>
                    <a:ln>
                      <a:noFill/>
                    </a:ln>
                    <a:effectLst>
                      <a:outerShdw blurRad="292100" dist="139700" dir="2700000" algn="tl" rotWithShape="0">
                        <a:srgbClr val="333333">
                          <a:alpha val="65000"/>
                        </a:srgbClr>
                      </a:outerShdw>
                    </a:effectLst>
                  </pic:spPr>
                </pic:pic>
              </a:graphicData>
            </a:graphic>
          </wp:anchor>
        </w:drawing>
      </w:r>
      <w:r w:rsidR="00D61498" w:rsidRPr="00332082">
        <w:rPr>
          <w:rFonts w:ascii="Times New Roman" w:hAnsi="Times New Roman" w:cs="Times New Roman"/>
          <w:b/>
          <w:shadow/>
          <w:sz w:val="28"/>
          <w:szCs w:val="24"/>
        </w:rPr>
        <w:t xml:space="preserve">     </w:t>
      </w:r>
      <w:r w:rsidR="004F4640" w:rsidRPr="00332082">
        <w:rPr>
          <w:rFonts w:ascii="Times New Roman" w:hAnsi="Times New Roman" w:cs="Times New Roman"/>
          <w:b/>
          <w:shadow/>
          <w:sz w:val="28"/>
          <w:szCs w:val="24"/>
          <w:lang w:val="mn-MN"/>
        </w:rPr>
        <w:t>МОНГОЛ УЛСЫН ЕРӨНХИЙЛӨГЧИД НЭР ДЭВШҮҮЛЭХ</w:t>
      </w:r>
    </w:p>
    <w:p w:rsidR="004F4640" w:rsidRPr="00332082" w:rsidRDefault="00FB678A" w:rsidP="006A30F2">
      <w:pPr>
        <w:tabs>
          <w:tab w:val="left" w:pos="567"/>
        </w:tabs>
        <w:rPr>
          <w:rFonts w:ascii="Times New Roman" w:hAnsi="Times New Roman" w:cs="Times New Roman"/>
          <w:sz w:val="24"/>
          <w:szCs w:val="24"/>
        </w:rPr>
      </w:pPr>
      <w:r w:rsidRPr="00332082">
        <w:rPr>
          <w:rFonts w:ascii="Times New Roman" w:hAnsi="Times New Roman" w:cs="Times New Roman"/>
          <w:noProof/>
          <w:sz w:val="24"/>
          <w:szCs w:val="24"/>
        </w:rPr>
        <w:drawing>
          <wp:inline distT="0" distB="0" distL="0" distR="0">
            <wp:extent cx="6762750" cy="9155430"/>
            <wp:effectExtent l="0" t="0" r="7620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4F4640" w:rsidRPr="00332082" w:rsidSect="00D61498">
      <w:pgSz w:w="12240" w:h="15840"/>
      <w:pgMar w:top="284" w:right="616" w:bottom="142"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F4640"/>
    <w:rsid w:val="00013B41"/>
    <w:rsid w:val="0003774F"/>
    <w:rsid w:val="00070362"/>
    <w:rsid w:val="00075D54"/>
    <w:rsid w:val="00082FE9"/>
    <w:rsid w:val="00097477"/>
    <w:rsid w:val="000A0A06"/>
    <w:rsid w:val="0010212F"/>
    <w:rsid w:val="00194984"/>
    <w:rsid w:val="001B1698"/>
    <w:rsid w:val="00223B45"/>
    <w:rsid w:val="00235C6B"/>
    <w:rsid w:val="002832AD"/>
    <w:rsid w:val="00332082"/>
    <w:rsid w:val="00343E30"/>
    <w:rsid w:val="003D1A65"/>
    <w:rsid w:val="004F4640"/>
    <w:rsid w:val="0052390D"/>
    <w:rsid w:val="00547B64"/>
    <w:rsid w:val="00554A15"/>
    <w:rsid w:val="00554DBA"/>
    <w:rsid w:val="00655B80"/>
    <w:rsid w:val="006713B9"/>
    <w:rsid w:val="006A30F2"/>
    <w:rsid w:val="006A3B11"/>
    <w:rsid w:val="006F7C1E"/>
    <w:rsid w:val="007270DD"/>
    <w:rsid w:val="007C66A1"/>
    <w:rsid w:val="00805DCB"/>
    <w:rsid w:val="00877EAF"/>
    <w:rsid w:val="00922FAF"/>
    <w:rsid w:val="00A55A46"/>
    <w:rsid w:val="00A706B0"/>
    <w:rsid w:val="00A930BE"/>
    <w:rsid w:val="00B30E26"/>
    <w:rsid w:val="00B5592A"/>
    <w:rsid w:val="00BA07E0"/>
    <w:rsid w:val="00C00C4F"/>
    <w:rsid w:val="00C419C2"/>
    <w:rsid w:val="00D12164"/>
    <w:rsid w:val="00D61498"/>
    <w:rsid w:val="00EC7741"/>
    <w:rsid w:val="00F405A7"/>
    <w:rsid w:val="00F476EA"/>
    <w:rsid w:val="00F85ADC"/>
    <w:rsid w:val="00FB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cecff"/>
      <o:colormenu v:ext="edit" fill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0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C573-59E2-46AA-906E-3A1ABB7F921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48D740E-47F5-41F3-A1E3-C5D2F5C43137}">
      <dgm:prSet phldrT="[Text]" custT="1"/>
      <dgm:spPr>
        <a:solidFill>
          <a:schemeClr val="tx2">
            <a:lumMod val="40000"/>
            <a:lumOff val="6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38100" algn="l" rotWithShape="0">
            <a:prstClr val="black">
              <a:alpha val="40000"/>
            </a:prstClr>
          </a:outerShdw>
        </a:effectLst>
        <a:scene3d>
          <a:camera prst="orthographicFront"/>
          <a:lightRig rig="threePt" dir="t"/>
        </a:scene3d>
        <a:sp3d>
          <a:bevelT w="165100" prst="coolSlant"/>
        </a:sp3d>
      </dgm:spPr>
      <dgm:t>
        <a:bodyPr/>
        <a:lstStyle/>
        <a:p>
          <a:pPr algn="ctr"/>
          <a:r>
            <a:rPr lang="mn-MN" sz="1100" b="1" u="sng">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НАМ ДАНГААР НЭР ДЭВШҮҮЛЭХ</a:t>
          </a:r>
        </a:p>
        <a:p>
          <a:pPr algn="ctr"/>
          <a:r>
            <a:rPr lang="mn-MN" sz="800" b="1"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140 дүгээр зүйл/</a:t>
          </a:r>
        </a:p>
        <a:p>
          <a:pPr algn="ctr"/>
          <a:endParaRPr lang="mn-MN" sz="11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1.</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тухайн хүний Ерөнхийлөгч байх мэдлэг, боловсрол, туршлага, ур чадвар, эх орон, ард түмний тусын тулд оюун ухаан, хүч хөдөлмөрөө зориулж, Монгол Улсын тусгаар тогтнол, бүрэн эрхт байдлыг хамгаалан бэхжүүлэх төгс эрмэлзэл, шударга ёс, хууль дээдлэх ёс, Ерөнхийлөгчийн ёс зүйн хэм хэмжээг сахин биелүүлэх чадварыг харгалзан үзэх,</a:t>
          </a: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2.</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эд мөнгөөр татах, айлган сүрдүүлэх, хууран мэхлэх үйл ажиллагаа явуулахыг хориглох,</a:t>
          </a: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3.</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нэр дэвшүүлэх асуудлыг шийдвэрлэсэн хуралдааны шийдвэрт дараах зүйлийг нэг бүрчлэн тусгах,</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а.намын Их хурал, эсхүл төлөөллийн төв байгууллага, гишүүдийн тоо;</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б.хуралдаанд оролцсон гишүүдийн ирц;</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в.нэр дэвшиж байгаа хүн бүрийн авсан саналын тоо, хувь.</a:t>
          </a: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4.</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Нам нэр дэвшүүлэх асуудлаар энэ хуульд нийцүүлэн өөрсдийн дотоодод мөрдөх журмыг тогтоон мөрдүүлнэ.</a:t>
          </a:r>
          <a:endParaRPr lang="en-US" sz="11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dgm:t>
    </dgm:pt>
    <dgm:pt modelId="{A40625D7-25E2-4B1E-8F0A-3DA3EA62BF7B}" type="parTrans" cxnId="{FC0E8092-E54F-4AB4-BE68-3DF11885E8E9}">
      <dgm:prSet/>
      <dgm:spPr/>
      <dgm:t>
        <a:bodyPr/>
        <a:lstStyle/>
        <a:p>
          <a:endParaRPr lang="en-US"/>
        </a:p>
      </dgm:t>
    </dgm:pt>
    <dgm:pt modelId="{34707C12-E216-4DCC-B332-94D5D340E5E2}" type="sibTrans" cxnId="{FC0E8092-E54F-4AB4-BE68-3DF11885E8E9}">
      <dgm:prSet/>
      <dgm:spPr/>
      <dgm:t>
        <a:bodyPr/>
        <a:lstStyle/>
        <a:p>
          <a:endParaRPr lang="en-US"/>
        </a:p>
      </dgm:t>
    </dgm:pt>
    <dgm:pt modelId="{489EEA4A-2E2A-4A86-AC58-85ED3C9A6B45}">
      <dgm:prSet phldrT="[Text]" custT="1"/>
      <dgm:spPr>
        <a:solidFill>
          <a:schemeClr val="tx2">
            <a:lumMod val="40000"/>
            <a:lumOff val="60000"/>
          </a:schemeClr>
        </a:solidFill>
        <a:ln>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effectLst>
          <a:outerShdw blurRad="50800" dist="38100" algn="l" rotWithShape="0">
            <a:prstClr val="black">
              <a:alpha val="40000"/>
            </a:prstClr>
          </a:outerShdw>
        </a:effectLst>
        <a:scene3d>
          <a:camera prst="orthographicFront"/>
          <a:lightRig rig="threePt" dir="t"/>
        </a:scene3d>
        <a:sp3d>
          <a:bevelT w="165100" prst="coolSlant"/>
        </a:sp3d>
      </dgm:spPr>
      <dgm:t>
        <a:bodyPr/>
        <a:lstStyle/>
        <a:p>
          <a:pPr algn="ctr">
            <a:lnSpc>
              <a:spcPct val="90000"/>
            </a:lnSpc>
            <a:spcAft>
              <a:spcPct val="35000"/>
            </a:spcAft>
          </a:pPr>
          <a:endParaRPr lang="mn-MN" sz="1100" b="1">
            <a:latin typeface="Arial" pitchFamily="34" charset="0"/>
            <a:cs typeface="Arial" pitchFamily="34" charset="0"/>
          </a:endParaRPr>
        </a:p>
        <a:p>
          <a:pPr algn="ctr">
            <a:lnSpc>
              <a:spcPct val="90000"/>
            </a:lnSpc>
            <a:spcAft>
              <a:spcPct val="35000"/>
            </a:spcAft>
          </a:pPr>
          <a:r>
            <a:rPr lang="mn-MN" sz="1100" b="1" u="sng">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НЭР ДЭВШҮҮЛЭХ НИЙТЛЭГ ЖУРАМ</a:t>
          </a:r>
        </a:p>
        <a:p>
          <a:pPr algn="l">
            <a:lnSpc>
              <a:spcPct val="90000"/>
            </a:lnSpc>
            <a:spcAft>
              <a:spcPct val="35000"/>
            </a:spcAft>
          </a:pPr>
          <a:r>
            <a:rPr lang="mn-MN" sz="1100" b="0" u="none">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Дараах этгээд Ерөнхийлөгчид нэр дэвшүүлэх эрхтэй:</a:t>
          </a:r>
        </a:p>
        <a:p>
          <a:pPr algn="l">
            <a:lnSpc>
              <a:spcPct val="100000"/>
            </a:lnSpc>
            <a:spcAft>
              <a:spcPts val="0"/>
            </a:spcAft>
          </a:pPr>
          <a:r>
            <a:rPr lang="en-US" sz="1100" b="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1.Улсын Их Хуралд суудал бүхий улс төрийн нам дангаараа</a:t>
          </a:r>
          <a:r>
            <a:rPr lang="mn-MN" sz="1100" b="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a:t>
          </a:r>
        </a:p>
        <a:p>
          <a:pPr algn="l">
            <a:lnSpc>
              <a:spcPct val="100000"/>
            </a:lnSpc>
            <a:spcAft>
              <a:spcPts val="0"/>
            </a:spcAft>
          </a:pPr>
          <a:r>
            <a:rPr lang="mn-MN" sz="800" b="1"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a:t>
          </a:r>
          <a:r>
            <a:rPr lang="mn-MN" sz="800" b="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139.1.1/</a:t>
          </a:r>
        </a:p>
        <a:p>
          <a:pPr algn="l">
            <a:lnSpc>
              <a:spcPct val="100000"/>
            </a:lnSpc>
            <a:spcAft>
              <a:spcPts val="0"/>
            </a:spcAft>
          </a:pPr>
          <a:endParaRPr lang="en-US" sz="800" b="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l">
            <a:lnSpc>
              <a:spcPct val="90000"/>
            </a:lnSpc>
            <a:spcAft>
              <a:spcPts val="0"/>
            </a:spcAft>
          </a:pPr>
          <a:r>
            <a:rPr lang="en-US" sz="1100" b="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2.Улсын Их Хуралд суудал бүхий улс төрийн намууд хамтран.</a:t>
          </a:r>
          <a:endParaRPr lang="mn-MN" sz="1100" b="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ctr">
            <a:lnSpc>
              <a:spcPct val="90000"/>
            </a:lnSpc>
            <a:spcAft>
              <a:spcPts val="0"/>
            </a:spcAft>
          </a:pPr>
          <a:r>
            <a:rPr lang="mn-MN" sz="800" b="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139.1.1/</a:t>
          </a:r>
        </a:p>
        <a:p>
          <a:pPr algn="ctr">
            <a:lnSpc>
              <a:spcPct val="90000"/>
            </a:lnSpc>
            <a:spcAft>
              <a:spcPts val="0"/>
            </a:spcAft>
          </a:pPr>
          <a:endParaRPr lang="mn-MN" sz="800" b="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ctr">
            <a:lnSpc>
              <a:spcPct val="90000"/>
            </a:lnSpc>
            <a:spcAft>
              <a:spcPct val="35000"/>
            </a:spcAft>
          </a:pPr>
          <a:r>
            <a:rPr lang="mn-MN" sz="1400" b="1" strike="noStrike" baseline="0">
              <a:solidFill>
                <a:srgbClr val="FF2929"/>
              </a:solidFill>
              <a:effectLst>
                <a:innerShdw blurRad="63500" dist="50800" dir="18900000">
                  <a:prstClr val="black">
                    <a:alpha val="50000"/>
                  </a:prstClr>
                </a:innerShdw>
              </a:effectLst>
              <a:latin typeface="Times New Roman" pitchFamily="18" charset="0"/>
              <a:cs typeface="Times New Roman" pitchFamily="18" charset="0"/>
            </a:rPr>
            <a:t>2017.5.2-ноос 2017.5.6-ныг дуустал</a:t>
          </a:r>
        </a:p>
        <a:p>
          <a:pPr algn="ctr">
            <a:lnSpc>
              <a:spcPct val="90000"/>
            </a:lnSpc>
            <a:spcAft>
              <a:spcPct val="35000"/>
            </a:spcAft>
          </a:pPr>
          <a:endParaRPr lang="en-US" sz="900"/>
        </a:p>
      </dgm:t>
    </dgm:pt>
    <dgm:pt modelId="{C8F8D76D-32CB-405D-A2FB-500C71FAD84A}" type="parTrans" cxnId="{F038D854-0EF9-431F-8B5E-071B11A6D6BA}">
      <dgm:prSet/>
      <dgm:spPr/>
      <dgm:t>
        <a:bodyPr/>
        <a:lstStyle/>
        <a:p>
          <a:endParaRPr lang="en-US"/>
        </a:p>
      </dgm:t>
    </dgm:pt>
    <dgm:pt modelId="{BEC9172A-8875-4D0F-B1AE-FFE2BE5D0423}" type="sibTrans" cxnId="{F038D854-0EF9-431F-8B5E-071B11A6D6BA}">
      <dgm:prSet/>
      <dgm:spPr/>
      <dgm:t>
        <a:bodyPr/>
        <a:lstStyle/>
        <a:p>
          <a:endParaRPr lang="en-US"/>
        </a:p>
      </dgm:t>
    </dgm:pt>
    <dgm:pt modelId="{ACC1CC4B-DD16-4B2D-9FC4-59F771AAEA2C}">
      <dgm:prSet phldrT="[Text]" custT="1"/>
      <dgm:spPr>
        <a:solidFill>
          <a:schemeClr val="tx2">
            <a:lumMod val="40000"/>
            <a:lumOff val="60000"/>
          </a:schemeClr>
        </a:solidFill>
        <a:ln>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effectLst>
          <a:outerShdw blurRad="50800" dist="38100" algn="l" rotWithShape="0">
            <a:prstClr val="black">
              <a:alpha val="40000"/>
            </a:prstClr>
          </a:outerShdw>
        </a:effectLst>
        <a:scene3d>
          <a:camera prst="orthographicFront"/>
          <a:lightRig rig="threePt" dir="t"/>
        </a:scene3d>
        <a:sp3d>
          <a:bevelT w="165100" prst="coolSlant"/>
        </a:sp3d>
      </dgm:spPr>
      <dgm:t>
        <a:bodyPr/>
        <a:lstStyle/>
        <a:p>
          <a:pPr algn="ctr">
            <a:lnSpc>
              <a:spcPct val="90000"/>
            </a:lnSpc>
            <a:spcAft>
              <a:spcPct val="35000"/>
            </a:spcAft>
          </a:pPr>
          <a:r>
            <a:rPr lang="mn-MN" sz="1100" b="1" u="sng">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НЭР ДЭВШИГЧИД ТАВИГДАХ ШААРДЛАГА</a:t>
          </a: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1. Дөчин таван нас хүрсэн байх, </a:t>
          </a:r>
          <a:r>
            <a:rPr lang="mn-MN" sz="80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11.7/</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2. Сүүлийн таваас доошгүй жил эх орондоо байнга оршин суусан буюу анхан шатны санал авах өдрөөс өмнөх хуанлийн таван жилийн хугацаанд тасралтгүй зургаан сараас дээш хугацаагаар гадаад улсад оршин суугаагүй байх, </a:t>
          </a:r>
          <a:r>
            <a:rPr lang="mn-MN" sz="80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11.7, 139.5/</a:t>
          </a:r>
          <a:r>
            <a:rPr lang="mn-MN"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3.Банк, бусад хуулийн этгээд, иргэнд шүүхийн шийдвэрээр тогтоогдсон төлбөл зохих зээл, барьцаа, батлан даалтын өргүй байх, </a:t>
          </a:r>
          <a:r>
            <a:rPr lang="mn-MN" sz="80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139.3.1/</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4.Хугацаа хэтэрсэн албан татварын өр төлбөргүй байх, </a:t>
          </a:r>
          <a:r>
            <a:rPr lang="mn-MN" sz="800"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139.3.2/</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5.Нэр дэвшигч компанийн 51 ба түүнээс дээш хувьцааг эзэмшдэг бол тухайн компани нь албан татварын хугацаа хэтэрсэн өр төлбөргүй байх, </a:t>
          </a:r>
          <a:r>
            <a:rPr lang="mn-MN"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139.3.3/</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6.Ял шийтгүүлж байгаагүй, эсхүл ял шийтгүүлж байсан бол ялгүй болсон буюу ялгүйд тооцогдсон байх. </a:t>
          </a:r>
          <a:r>
            <a:rPr lang="mn-MN"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139.3.4/</a:t>
          </a: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a:t>
          </a:r>
          <a:r>
            <a:rPr lang="mn-MN" sz="1200">
              <a:solidFill>
                <a:schemeClr val="tx2">
                  <a:lumMod val="75000"/>
                </a:schemeClr>
              </a:solidFill>
              <a:effectLst>
                <a:innerShdw blurRad="63500" dist="50800" dir="18900000">
                  <a:prstClr val="black">
                    <a:alpha val="50000"/>
                  </a:prstClr>
                </a:innerShdw>
              </a:effectLst>
              <a:latin typeface="Times New Roman" pitchFamily="18" charset="0"/>
              <a:cs typeface="Times New Roman" pitchFamily="18" charset="0"/>
            </a:rPr>
            <a:t>/дэлгэрэнгүй мэдээлэл авах/</a:t>
          </a:r>
          <a:endParaRPr lang="en-US" sz="1200">
            <a:solidFill>
              <a:schemeClr val="tx2">
                <a:lumMod val="75000"/>
              </a:schemeClr>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7.Монгол Улсын харьяат эцэг, эхээс төрж, түүнээс хойш тус улсын харьяат хэвээр байгаа “Монгол Улсын уугуул иргэн” байх, </a:t>
          </a:r>
          <a:r>
            <a:rPr lang="mn-MN"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139.4/</a:t>
          </a:r>
          <a:endParaRPr lang="en-US"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lnSpc>
              <a:spcPct val="90000"/>
            </a:lnSpc>
            <a:spcAft>
              <a:spcPts val="732"/>
            </a:spcAft>
          </a:pPr>
          <a:r>
            <a:rPr lang="mn-MN" sz="12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8.Төрийн жинхэнэ албан хаагч Ерөнхийлөгчид нэр дэвших бол сонгуулийн жилийн нэгдүгээр сарын нэгний өдрөөс өмнө төрийн албанаас чөлөөлөгдсөн байх, </a:t>
          </a:r>
          <a:r>
            <a:rPr lang="mn-MN" sz="8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139.6/</a:t>
          </a:r>
          <a:endParaRPr lang="mn-MN" sz="8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dgm:t>
    </dgm:pt>
    <dgm:pt modelId="{DC9B7835-E08C-4D8A-94FA-50BF1B5A8C6F}" type="parTrans" cxnId="{2CEBC3E1-3980-440E-8BB5-EF039B7F3ED8}">
      <dgm:prSet/>
      <dgm:spPr/>
      <dgm:t>
        <a:bodyPr/>
        <a:lstStyle/>
        <a:p>
          <a:endParaRPr lang="en-US"/>
        </a:p>
      </dgm:t>
    </dgm:pt>
    <dgm:pt modelId="{219ADA0D-E3C8-4F48-A84E-4738910E2FEE}" type="sibTrans" cxnId="{2CEBC3E1-3980-440E-8BB5-EF039B7F3ED8}">
      <dgm:prSet/>
      <dgm:spPr/>
      <dgm:t>
        <a:bodyPr/>
        <a:lstStyle/>
        <a:p>
          <a:endParaRPr lang="en-US"/>
        </a:p>
      </dgm:t>
    </dgm:pt>
    <dgm:pt modelId="{A607E9ED-81AA-4900-9D30-963251459BF6}">
      <dgm:prSet phldrT="[Text]" custT="1"/>
      <dgm:spPr>
        <a:solidFill>
          <a:schemeClr val="tx2">
            <a:lumMod val="40000"/>
            <a:lumOff val="6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38100" algn="l" rotWithShape="0">
            <a:prstClr val="black">
              <a:alpha val="40000"/>
            </a:prstClr>
          </a:outerShdw>
        </a:effectLst>
        <a:scene3d>
          <a:camera prst="orthographicFront"/>
          <a:lightRig rig="threePt" dir="t"/>
        </a:scene3d>
        <a:sp3d>
          <a:bevelT w="165100" prst="coolSlant"/>
        </a:sp3d>
      </dgm:spPr>
      <dgm:t>
        <a:bodyPr/>
        <a:lstStyle/>
        <a:p>
          <a:pPr algn="ctr"/>
          <a:r>
            <a:rPr lang="mn-MN" sz="1100" b="1" u="sng">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НАМУУД ХАМТАРЧ НЭР ДЭВШҮҮЛЭХ</a:t>
          </a:r>
        </a:p>
        <a:p>
          <a:pPr algn="ctr"/>
          <a:r>
            <a:rPr lang="mn-MN" sz="800" b="1" i="1">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/Сонгуулийн тухай хуулийн 141 дүгээр зүйл/</a:t>
          </a:r>
        </a:p>
        <a:p>
          <a:pPr indent="457200" algn="just"/>
          <a:endParaRPr lang="mn-MN" sz="110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1.</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Намууд хамтарч сонгуульд нэр дэвшүүлэх тухай асуудлыг нам тус бүр намын төлөөллийн төв байгууллагынхаа хуралдаанаар шийдвэрлэнэ.</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Шийдвэрт дараах асуудлыг тусгана:</a:t>
          </a:r>
        </a:p>
        <a:p>
          <a:pPr algn="just"/>
          <a:r>
            <a:rPr lang="en-US"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а.хамтарсан намуудыг сонгуульд төлөөлөх байгууллагад тухайн намаас оролцох хүний эцэг /эх/-ийн нэр, өөрийн нэр, тоо;</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б.хамтарсан намуудыг сонгуульд төлөөлөх байгууллагыг удирдах бүрэлдэхүүнд орох хүний эцэг /эх/-ийн нэр, өөрийн нэр, тоо;</a:t>
          </a:r>
        </a:p>
        <a:p>
          <a:pPr algn="just"/>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      в.сонгуулийн зардлын санд тухайн намаас оруулах хөрөнгийн хувь, хэмжээ.</a:t>
          </a:r>
        </a:p>
        <a:p>
          <a:pPr algn="just"/>
          <a:r>
            <a:rPr lang="mn-MN" sz="1100" b="1"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2.</a:t>
          </a:r>
          <a:r>
            <a:rPr lang="mn-MN"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rPr>
            <a:t>Хамтарсан намуудын сонгуульд төлөөлөх байгууллага нэр дэвшүүлэхдээ хуульд заасан нийтлэг болон намаас нэр дэвшүүлэх журмыг баримтлан Ерөнхийлөгчид нэр дэвшүүлнэ.</a:t>
          </a:r>
          <a:endParaRPr lang="en-US" sz="1100" b="0" i="0">
            <a:solidFill>
              <a:sysClr val="windowText" lastClr="000000"/>
            </a:solidFill>
            <a:effectLst>
              <a:innerShdw blurRad="63500" dist="50800" dir="18900000">
                <a:prstClr val="black">
                  <a:alpha val="50000"/>
                </a:prstClr>
              </a:innerShdw>
            </a:effectLst>
            <a:latin typeface="Times New Roman" pitchFamily="18" charset="0"/>
            <a:cs typeface="Times New Roman" pitchFamily="18" charset="0"/>
          </a:endParaRPr>
        </a:p>
        <a:p>
          <a:pPr algn="just"/>
          <a:endParaRPr lang="en-US" sz="1100" b="0" i="0">
            <a:latin typeface="Arial" pitchFamily="34" charset="0"/>
            <a:cs typeface="Arial" pitchFamily="34" charset="0"/>
          </a:endParaRPr>
        </a:p>
        <a:p>
          <a:pPr algn="just"/>
          <a:endParaRPr lang="en-US" sz="1100" b="0" i="0">
            <a:latin typeface="Arial" pitchFamily="34" charset="0"/>
            <a:cs typeface="Arial" pitchFamily="34" charset="0"/>
          </a:endParaRPr>
        </a:p>
        <a:p>
          <a:pPr algn="just"/>
          <a:endParaRPr lang="en-US" sz="1100">
            <a:latin typeface="Arial" pitchFamily="34" charset="0"/>
            <a:cs typeface="Arial" pitchFamily="34" charset="0"/>
          </a:endParaRPr>
        </a:p>
      </dgm:t>
    </dgm:pt>
    <dgm:pt modelId="{1A04641B-FF04-4222-8A04-AC2CD30D7F59}" type="sibTrans" cxnId="{446384A4-F4B1-4B58-B738-60FC747B3E31}">
      <dgm:prSet/>
      <dgm:spPr/>
      <dgm:t>
        <a:bodyPr/>
        <a:lstStyle/>
        <a:p>
          <a:endParaRPr lang="en-US"/>
        </a:p>
      </dgm:t>
    </dgm:pt>
    <dgm:pt modelId="{09EBE46F-CFA5-48DA-A3B2-52907BF8A6E1}" type="parTrans" cxnId="{446384A4-F4B1-4B58-B738-60FC747B3E31}">
      <dgm:prSet/>
      <dgm:spPr/>
      <dgm:t>
        <a:bodyPr/>
        <a:lstStyle/>
        <a:p>
          <a:endParaRPr lang="en-US"/>
        </a:p>
      </dgm:t>
    </dgm:pt>
    <dgm:pt modelId="{6EA1FD4D-303C-4F99-987E-D0E8CA228D98}" type="pres">
      <dgm:prSet presAssocID="{D37AC573-59E2-46AA-906E-3A1ABB7F9218}" presName="diagram" presStyleCnt="0">
        <dgm:presLayoutVars>
          <dgm:dir/>
          <dgm:resizeHandles val="exact"/>
        </dgm:presLayoutVars>
      </dgm:prSet>
      <dgm:spPr/>
      <dgm:t>
        <a:bodyPr/>
        <a:lstStyle/>
        <a:p>
          <a:endParaRPr lang="en-US"/>
        </a:p>
      </dgm:t>
    </dgm:pt>
    <dgm:pt modelId="{794F2368-DFEA-4401-BBBE-2286EA2EDC9A}" type="pres">
      <dgm:prSet presAssocID="{A48D740E-47F5-41F3-A1E3-C5D2F5C43137}" presName="node" presStyleLbl="node1" presStyleIdx="0" presStyleCnt="4" custScaleX="144591" custScaleY="299639" custLinFactY="178169" custLinFactNeighborX="-450" custLinFactNeighborY="200000">
        <dgm:presLayoutVars>
          <dgm:bulletEnabled val="1"/>
        </dgm:presLayoutVars>
      </dgm:prSet>
      <dgm:spPr/>
      <dgm:t>
        <a:bodyPr/>
        <a:lstStyle/>
        <a:p>
          <a:endParaRPr lang="en-US"/>
        </a:p>
      </dgm:t>
    </dgm:pt>
    <dgm:pt modelId="{12260234-C697-4861-952F-16265AC5F9CE}" type="pres">
      <dgm:prSet presAssocID="{34707C12-E216-4DCC-B332-94D5D340E5E2}" presName="sibTrans" presStyleCnt="0"/>
      <dgm:spPr/>
    </dgm:pt>
    <dgm:pt modelId="{8AF60E52-F69E-4540-835D-0F6C6CECDE7E}" type="pres">
      <dgm:prSet presAssocID="{A607E9ED-81AA-4900-9D30-963251459BF6}" presName="node" presStyleLbl="node1" presStyleIdx="1" presStyleCnt="4" custScaleX="141142" custScaleY="293488" custLinFactY="177583" custLinFactNeighborX="1595" custLinFactNeighborY="200000">
        <dgm:presLayoutVars>
          <dgm:bulletEnabled val="1"/>
        </dgm:presLayoutVars>
      </dgm:prSet>
      <dgm:spPr/>
      <dgm:t>
        <a:bodyPr/>
        <a:lstStyle/>
        <a:p>
          <a:endParaRPr lang="en-US"/>
        </a:p>
      </dgm:t>
    </dgm:pt>
    <dgm:pt modelId="{4A15DF07-9A0F-419C-9783-BAF6A81A0301}" type="pres">
      <dgm:prSet presAssocID="{1A04641B-FF04-4222-8A04-AC2CD30D7F59}" presName="sibTrans" presStyleCnt="0"/>
      <dgm:spPr/>
    </dgm:pt>
    <dgm:pt modelId="{9F3C3824-0F7C-4771-9427-79BF97F69031}" type="pres">
      <dgm:prSet presAssocID="{489EEA4A-2E2A-4A86-AC58-85ED3C9A6B45}" presName="node" presStyleLbl="node1" presStyleIdx="2" presStyleCnt="4" custScaleX="191953" custScaleY="105752" custLinFactY="-106455" custLinFactNeighborX="3807" custLinFactNeighborY="-200000">
        <dgm:presLayoutVars>
          <dgm:bulletEnabled val="1"/>
        </dgm:presLayoutVars>
      </dgm:prSet>
      <dgm:spPr/>
      <dgm:t>
        <a:bodyPr/>
        <a:lstStyle/>
        <a:p>
          <a:endParaRPr lang="en-US"/>
        </a:p>
      </dgm:t>
    </dgm:pt>
    <dgm:pt modelId="{3BE16F30-0B80-40C1-8FEC-077DA36C353A}" type="pres">
      <dgm:prSet presAssocID="{BEC9172A-8875-4D0F-B1AE-FFE2BE5D0423}" presName="sibTrans" presStyleCnt="0"/>
      <dgm:spPr/>
    </dgm:pt>
    <dgm:pt modelId="{E920B121-5B50-4196-84C8-DF9A0F08F8E8}" type="pres">
      <dgm:prSet presAssocID="{ACC1CC4B-DD16-4B2D-9FC4-59F771AAEA2C}" presName="node" presStyleLbl="node1" presStyleIdx="3" presStyleCnt="4" custScaleX="273695" custScaleY="248569" custLinFactY="-116283" custLinFactNeighborX="388" custLinFactNeighborY="-200000">
        <dgm:presLayoutVars>
          <dgm:bulletEnabled val="1"/>
        </dgm:presLayoutVars>
      </dgm:prSet>
      <dgm:spPr/>
      <dgm:t>
        <a:bodyPr/>
        <a:lstStyle/>
        <a:p>
          <a:endParaRPr lang="en-US"/>
        </a:p>
      </dgm:t>
    </dgm:pt>
  </dgm:ptLst>
  <dgm:cxnLst>
    <dgm:cxn modelId="{2D8C1FC7-D73E-46A0-A830-E422E9C5D63A}" type="presOf" srcId="{489EEA4A-2E2A-4A86-AC58-85ED3C9A6B45}" destId="{9F3C3824-0F7C-4771-9427-79BF97F69031}" srcOrd="0" destOrd="0" presId="urn:microsoft.com/office/officeart/2005/8/layout/default"/>
    <dgm:cxn modelId="{FC0E8092-E54F-4AB4-BE68-3DF11885E8E9}" srcId="{D37AC573-59E2-46AA-906E-3A1ABB7F9218}" destId="{A48D740E-47F5-41F3-A1E3-C5D2F5C43137}" srcOrd="0" destOrd="0" parTransId="{A40625D7-25E2-4B1E-8F0A-3DA3EA62BF7B}" sibTransId="{34707C12-E216-4DCC-B332-94D5D340E5E2}"/>
    <dgm:cxn modelId="{F038D854-0EF9-431F-8B5E-071B11A6D6BA}" srcId="{D37AC573-59E2-46AA-906E-3A1ABB7F9218}" destId="{489EEA4A-2E2A-4A86-AC58-85ED3C9A6B45}" srcOrd="2" destOrd="0" parTransId="{C8F8D76D-32CB-405D-A2FB-500C71FAD84A}" sibTransId="{BEC9172A-8875-4D0F-B1AE-FFE2BE5D0423}"/>
    <dgm:cxn modelId="{68E2E9DD-00AE-4EE1-B7F9-3EA6044E82C9}" type="presOf" srcId="{A48D740E-47F5-41F3-A1E3-C5D2F5C43137}" destId="{794F2368-DFEA-4401-BBBE-2286EA2EDC9A}" srcOrd="0" destOrd="0" presId="urn:microsoft.com/office/officeart/2005/8/layout/default"/>
    <dgm:cxn modelId="{87B300FD-E3C3-4F0B-B1B7-ADBECE58D2C1}" type="presOf" srcId="{A607E9ED-81AA-4900-9D30-963251459BF6}" destId="{8AF60E52-F69E-4540-835D-0F6C6CECDE7E}" srcOrd="0" destOrd="0" presId="urn:microsoft.com/office/officeart/2005/8/layout/default"/>
    <dgm:cxn modelId="{8A036C1F-E35B-415A-86AC-8BED66477A73}" type="presOf" srcId="{D37AC573-59E2-46AA-906E-3A1ABB7F9218}" destId="{6EA1FD4D-303C-4F99-987E-D0E8CA228D98}" srcOrd="0" destOrd="0" presId="urn:microsoft.com/office/officeart/2005/8/layout/default"/>
    <dgm:cxn modelId="{419EA2AA-707A-4F28-98A9-0A06B69189E6}" type="presOf" srcId="{ACC1CC4B-DD16-4B2D-9FC4-59F771AAEA2C}" destId="{E920B121-5B50-4196-84C8-DF9A0F08F8E8}" srcOrd="0" destOrd="0" presId="urn:microsoft.com/office/officeart/2005/8/layout/default"/>
    <dgm:cxn modelId="{2CEBC3E1-3980-440E-8BB5-EF039B7F3ED8}" srcId="{D37AC573-59E2-46AA-906E-3A1ABB7F9218}" destId="{ACC1CC4B-DD16-4B2D-9FC4-59F771AAEA2C}" srcOrd="3" destOrd="0" parTransId="{DC9B7835-E08C-4D8A-94FA-50BF1B5A8C6F}" sibTransId="{219ADA0D-E3C8-4F48-A84E-4738910E2FEE}"/>
    <dgm:cxn modelId="{446384A4-F4B1-4B58-B738-60FC747B3E31}" srcId="{D37AC573-59E2-46AA-906E-3A1ABB7F9218}" destId="{A607E9ED-81AA-4900-9D30-963251459BF6}" srcOrd="1" destOrd="0" parTransId="{09EBE46F-CFA5-48DA-A3B2-52907BF8A6E1}" sibTransId="{1A04641B-FF04-4222-8A04-AC2CD30D7F59}"/>
    <dgm:cxn modelId="{04E4CF84-8DC1-4FEA-8DC4-6B634C37DD64}" type="presParOf" srcId="{6EA1FD4D-303C-4F99-987E-D0E8CA228D98}" destId="{794F2368-DFEA-4401-BBBE-2286EA2EDC9A}" srcOrd="0" destOrd="0" presId="urn:microsoft.com/office/officeart/2005/8/layout/default"/>
    <dgm:cxn modelId="{2843DD0E-63EB-4CA7-B879-8883CC252D82}" type="presParOf" srcId="{6EA1FD4D-303C-4F99-987E-D0E8CA228D98}" destId="{12260234-C697-4861-952F-16265AC5F9CE}" srcOrd="1" destOrd="0" presId="urn:microsoft.com/office/officeart/2005/8/layout/default"/>
    <dgm:cxn modelId="{0464D597-8949-4C1F-8B29-C78F4AF06527}" type="presParOf" srcId="{6EA1FD4D-303C-4F99-987E-D0E8CA228D98}" destId="{8AF60E52-F69E-4540-835D-0F6C6CECDE7E}" srcOrd="2" destOrd="0" presId="urn:microsoft.com/office/officeart/2005/8/layout/default"/>
    <dgm:cxn modelId="{C1D71846-34FE-4C35-A564-5A5BA4D1F63E}" type="presParOf" srcId="{6EA1FD4D-303C-4F99-987E-D0E8CA228D98}" destId="{4A15DF07-9A0F-419C-9783-BAF6A81A0301}" srcOrd="3" destOrd="0" presId="urn:microsoft.com/office/officeart/2005/8/layout/default"/>
    <dgm:cxn modelId="{2771B3C6-5076-413B-8BFF-2A860F5FCAF1}" type="presParOf" srcId="{6EA1FD4D-303C-4F99-987E-D0E8CA228D98}" destId="{9F3C3824-0F7C-4771-9427-79BF97F69031}" srcOrd="4" destOrd="0" presId="urn:microsoft.com/office/officeart/2005/8/layout/default"/>
    <dgm:cxn modelId="{BF1BB318-4C15-46F5-BE18-9A345FFE35DC}" type="presParOf" srcId="{6EA1FD4D-303C-4F99-987E-D0E8CA228D98}" destId="{3BE16F30-0B80-40C1-8FEC-077DA36C353A}" srcOrd="5" destOrd="0" presId="urn:microsoft.com/office/officeart/2005/8/layout/default"/>
    <dgm:cxn modelId="{1E14E346-94D8-4BFA-ABD7-2F9466536356}" type="presParOf" srcId="{6EA1FD4D-303C-4F99-987E-D0E8CA228D98}" destId="{E920B121-5B50-4196-84C8-DF9A0F08F8E8}" srcOrd="6"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Bat-Erdene</dc:creator>
  <cp:lastModifiedBy>Bat-Erdene</cp:lastModifiedBy>
  <cp:revision>3</cp:revision>
  <cp:lastPrinted>2017-04-20T04:22:00Z</cp:lastPrinted>
  <dcterms:created xsi:type="dcterms:W3CDTF">2017-04-19T06:27:00Z</dcterms:created>
  <dcterms:modified xsi:type="dcterms:W3CDTF">2017-04-20T04:22:00Z</dcterms:modified>
</cp:coreProperties>
</file>