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СОНГУУЛИЙН АВТОМАТЖУУЛСАН СИСТЕМИЙН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МЭДЭЭЛЛИЙН САНГ БҮРДҮҮЛЭХ, МЭДЭЭЛЭЛ ШИЛЖҮҮЛЭХ, 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ХУВИЛАХ, ХЭВЛЭХ, ХАДГАЛАХ, ЛАВЛАГАА ОЛГОХ ЖУРАМ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Нэг. </w:t>
      </w: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Нийтлэг үндэслэл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1.1. Энэхүү журмаар сонгуулийн автоматжуулсан системийн мэдээллийн санг /цаашид Мэдээллийн сан гэх/ бүрдүүлэх зарчим, мэдээлэл шилжүүлэх, хувилах, хэвлэх, хадгалах, лавлагаа олгохтой холбогдсон харилцааг зохицуулна.</w:t>
      </w:r>
    </w:p>
    <w:p w:rsidR="00753968" w:rsidRPr="004F636D" w:rsidRDefault="00753968" w:rsidP="00753968">
      <w:pPr>
        <w:pStyle w:val="ListParagraph"/>
        <w:spacing w:after="0" w:line="240" w:lineRule="auto"/>
        <w:ind w:firstLine="360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Хоёр. </w:t>
      </w:r>
      <w:r w:rsidRPr="004F636D">
        <w:rPr>
          <w:rFonts w:ascii="Arial" w:hAnsi="Arial" w:cs="Arial"/>
          <w:bCs/>
          <w:i/>
          <w:sz w:val="24"/>
          <w:szCs w:val="24"/>
          <w:lang w:val="mn-MN"/>
        </w:rPr>
        <w:t xml:space="preserve">Сонгуулийн автоматжуулсан системийн </w:t>
      </w:r>
    </w:p>
    <w:p w:rsidR="00753968" w:rsidRPr="004F636D" w:rsidRDefault="00753968" w:rsidP="00753968">
      <w:pPr>
        <w:spacing w:after="0" w:line="240" w:lineRule="auto"/>
        <w:ind w:firstLine="360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мэдээллийн сан</w:t>
      </w:r>
    </w:p>
    <w:p w:rsidR="00753968" w:rsidRPr="004F636D" w:rsidRDefault="00753968" w:rsidP="00753968">
      <w:pPr>
        <w:spacing w:after="0" w:line="240" w:lineRule="auto"/>
        <w:ind w:firstLine="360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 Сонгуулийн автоматжуулсан системийн мэдээллийн санд цаасан дээр үйлдсэн болон цахим хэлбэрээр үйлдсэн дор дурдсан мэдээллийг байршуулна: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2.1.1. Саналын хуудасны зурган болон </w:t>
      </w:r>
      <w:r w:rsidRPr="004F636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тоон үзүүлэлт</w:t>
      </w: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 бүхий мэдээлэл;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2.1.2. Сонгуулийн Ерөнхий Хорооны цахим хуудасны мэдээлэл; 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2.1.3. Сонгуульд нэр дэвшигчдийн нэрийн жагсаалт;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2.1.4. Сонгуульд нэр дэвшигчдийн нэрийн жагсаалтад орсон өөрчлөлт, үндэслэл болсон шийдвэрийн огноо, дугаар;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2.1.5. Сонгуульд оролцохоор бүртгүүлсэн нам, эвслийн нэрийн жагсаалт;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2.1.6. Сонгуульд оролцохоор бүртгүүлсэн нам, эвслийн нэрийн жагсаалтад орсон өөрчлөлт, үндэслэл болсон шийдвэрийн огноо, дугаар;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2.1.7. </w:t>
      </w:r>
      <w:r w:rsidR="00BE7C3D" w:rsidRPr="004F636D">
        <w:rPr>
          <w:rFonts w:ascii="Arial" w:hAnsi="Arial" w:cs="Arial"/>
          <w:bCs/>
          <w:sz w:val="24"/>
          <w:szCs w:val="24"/>
          <w:lang w:val="mn-MN"/>
        </w:rPr>
        <w:t>Аймаг, нийслэл, сум, дүүргийн сонгуулийн хороо</w:t>
      </w:r>
      <w:r w:rsidR="002F392D" w:rsidRPr="004F636D">
        <w:rPr>
          <w:rFonts w:ascii="Arial" w:hAnsi="Arial" w:cs="Arial"/>
          <w:bCs/>
          <w:sz w:val="24"/>
          <w:szCs w:val="24"/>
          <w:lang w:val="mn-MN"/>
        </w:rPr>
        <w:t>д</w:t>
      </w:r>
      <w:r w:rsidR="00BE7C3D" w:rsidRPr="004F636D">
        <w:rPr>
          <w:rFonts w:ascii="Arial" w:hAnsi="Arial" w:cs="Arial"/>
          <w:bCs/>
          <w:sz w:val="24"/>
          <w:szCs w:val="24"/>
          <w:lang w:val="mn-MN"/>
        </w:rPr>
        <w:t xml:space="preserve"> болон санал авах байрны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бүрэлдэхүүний мэдээлэл, түүнд өөрчлөлт оруулсан тухай мэдээлэл;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2.1.8. </w:t>
      </w:r>
      <w:r w:rsidR="00576577" w:rsidRPr="004F636D">
        <w:rPr>
          <w:rFonts w:ascii="Arial" w:hAnsi="Arial" w:cs="Arial"/>
          <w:bCs/>
          <w:sz w:val="24"/>
          <w:szCs w:val="24"/>
          <w:lang w:val="mn-MN"/>
        </w:rPr>
        <w:t xml:space="preserve">Аймаг, нийслэл, дүүргийн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сонгуулийн хорооны дэргэд ажиллах мэдээллийн технологийн багийн бүрэлдэхүүний мэдээлэл, түүнд өөрчлөлт оруулсан тухай мэдээлэл;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2.1.9. Сонгуулийн санал авах байранд ажиллах мэдээллийн технологийн даамлын бүртгэл, түүнд өөрчлөлт оруулсан тухай мэдээлэл;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2.1.10. Санал хураалтын ирцийн тухай нийтэд зарласан мэдээлэл;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2.1.11. Сонгуулийн Ерөнхий Хорооны дэргэдэх Мэдээллийн технологийн төвийн нэгдсэн серверт ирсэн санал хураалтын дүн /нэгдсэн дүн, санал тоолох төхөөрөмж бүрийн дүн/;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2.1.12. </w:t>
      </w:r>
      <w:r w:rsidR="002F392D" w:rsidRPr="004F636D">
        <w:rPr>
          <w:rFonts w:ascii="Arial" w:hAnsi="Arial" w:cs="Arial"/>
          <w:bCs/>
          <w:sz w:val="24"/>
          <w:szCs w:val="24"/>
          <w:lang w:val="mn-MN"/>
        </w:rPr>
        <w:t>Аймаг, нийслэл, сум, дүүргийн сонгуулийн хороод болон санал авах байр</w:t>
      </w:r>
      <w:r w:rsidR="000F6188" w:rsidRPr="004F636D">
        <w:rPr>
          <w:rFonts w:ascii="Arial" w:hAnsi="Arial" w:cs="Arial"/>
          <w:bCs/>
          <w:sz w:val="24"/>
          <w:szCs w:val="24"/>
          <w:lang w:val="mn-MN"/>
        </w:rPr>
        <w:t>анд</w:t>
      </w: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 үйлдэгдсэн цахим баримт бичгүүд;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2.1.13. </w:t>
      </w:r>
      <w:r w:rsidR="00A341EB" w:rsidRPr="004F636D">
        <w:rPr>
          <w:rFonts w:ascii="Arial" w:hAnsi="Arial" w:cs="Arial"/>
          <w:bCs/>
          <w:sz w:val="24"/>
          <w:szCs w:val="24"/>
          <w:lang w:val="mn-MN"/>
        </w:rPr>
        <w:t xml:space="preserve">Аймаг, нийслэл, дүүргийн сонгуулийн хороод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болон Сонгуулийн Ерөнхий Хорооноос оруулсан бусад мэдээлэл;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2.1.14. Сонгуулийн автоматжуулах хэрэгслийн иж бүрдэлд орсон эд хөрөнгийн тоо бүртгэлийн тайлан.</w:t>
      </w:r>
    </w:p>
    <w:p w:rsidR="00753968" w:rsidRPr="004F636D" w:rsidRDefault="00753968" w:rsidP="007539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Гурав. </w:t>
      </w:r>
      <w:r w:rsidRPr="004F636D">
        <w:rPr>
          <w:rFonts w:ascii="Arial" w:hAnsi="Arial" w:cs="Arial"/>
          <w:bCs/>
          <w:i/>
          <w:sz w:val="24"/>
          <w:szCs w:val="24"/>
          <w:lang w:val="mn-MN"/>
        </w:rPr>
        <w:t>Сонгуулийн автоматжуулсан системийн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 xml:space="preserve"> мэдээллийн санг бүрдүүлэх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3.1. Сонгуулийн Ерөнхий Хороо болон </w:t>
      </w:r>
      <w:r w:rsidR="00CE727E" w:rsidRPr="004F636D">
        <w:rPr>
          <w:rFonts w:ascii="Arial" w:hAnsi="Arial" w:cs="Arial"/>
          <w:bCs/>
          <w:sz w:val="24"/>
          <w:szCs w:val="24"/>
          <w:lang w:val="mn-MN"/>
        </w:rPr>
        <w:t>аймаг,</w:t>
      </w:r>
      <w:r w:rsidR="00D55FDD" w:rsidRPr="004F636D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CE727E" w:rsidRPr="004F636D">
        <w:rPr>
          <w:rFonts w:ascii="Arial" w:hAnsi="Arial" w:cs="Arial"/>
          <w:bCs/>
          <w:sz w:val="24"/>
          <w:szCs w:val="24"/>
          <w:lang w:val="mn-MN"/>
        </w:rPr>
        <w:t xml:space="preserve">нийслэл, дүүргийн сонгуулийн хороод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нь энэ журмын 2-т дурдсан, өөрийн үйл ажиллагаатай холбогдолтой мэдээллийг мэдээллийн санд оруулна.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3.2. Мэдээллийг цахим хэлбэрээр бэлтгэж мэдээллийн санд оруулах даалгаврыг тухайн сонгуулийн хорооны дарга, эсхүл нарийн бичгийн дарга үүрэг хүлээсэн ажилтанд өгөх бөгөөд тус ажилтан мэдээллийг мэдээллийн санд оруулна.</w:t>
      </w:r>
    </w:p>
    <w:p w:rsidR="00753968" w:rsidRPr="004F636D" w:rsidRDefault="00753968" w:rsidP="00753968">
      <w:pPr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lastRenderedPageBreak/>
        <w:tab/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Дөрөв.  </w:t>
      </w:r>
      <w:r w:rsidRPr="004F636D">
        <w:rPr>
          <w:rFonts w:ascii="Arial" w:hAnsi="Arial" w:cs="Arial"/>
          <w:bCs/>
          <w:i/>
          <w:sz w:val="24"/>
          <w:szCs w:val="24"/>
          <w:lang w:val="mn-MN"/>
        </w:rPr>
        <w:t xml:space="preserve">Сонгуулийн автоматжуулсан системийн 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мэдээллийн сангаас мэдээлэл шилжүүлэх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4.1. Мэдээллийн сангаас </w:t>
      </w:r>
      <w:r w:rsidR="00A86035" w:rsidRPr="004F636D">
        <w:rPr>
          <w:rFonts w:ascii="Arial" w:hAnsi="Arial" w:cs="Arial"/>
          <w:bCs/>
          <w:sz w:val="24"/>
          <w:szCs w:val="24"/>
          <w:lang w:val="mn-MN"/>
        </w:rPr>
        <w:t>аймаг, нийслэл, дүүргийн</w:t>
      </w:r>
      <w:r w:rsidR="001E1D7E" w:rsidRPr="004F636D">
        <w:rPr>
          <w:rFonts w:ascii="Arial" w:hAnsi="Arial" w:cs="Arial"/>
          <w:bCs/>
          <w:sz w:val="24"/>
          <w:szCs w:val="24"/>
          <w:lang w:val="mn-MN"/>
        </w:rPr>
        <w:t xml:space="preserve"> сонгуулийн хороодод</w:t>
      </w:r>
      <w:r w:rsidR="00A86035" w:rsidRPr="004F636D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мэдээлэл шилжүүлэхдээ мэдээлэл хүссэн хорооны дарга /нарийн бичгийн дарга/-ын хүсэлтийг үндэслэн мэдээлэл хадгалж буй хорооны дарга /нарийн бичгийн дарга/ холбогдох хууль, журамд нийцүүлэн шийдвэрлэнэ.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4.2. Мэдээллийн сангаас сонгуулийн хороодын хооронд мэдээлэл шилжүүлэхдээ Сонгуулийн Ерөнхий Хорооноос баталсан “Сонгуулийн хороодын хооронд цахим баримт бичгийг дамжуулан өгөх, хүлээн авах, шалгаж бүртгэх, хадгалах, цахим гарын үсэг ашиглах журам”-ыг баримтална.</w:t>
      </w:r>
    </w:p>
    <w:p w:rsidR="00753968" w:rsidRPr="004F636D" w:rsidRDefault="00753968" w:rsidP="00753968">
      <w:pPr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Тав. </w:t>
      </w:r>
      <w:r w:rsidRPr="004F636D">
        <w:rPr>
          <w:rFonts w:ascii="Arial" w:hAnsi="Arial" w:cs="Arial"/>
          <w:bCs/>
          <w:i/>
          <w:sz w:val="24"/>
          <w:szCs w:val="24"/>
          <w:lang w:val="mn-MN"/>
        </w:rPr>
        <w:t xml:space="preserve">Сонгуулийн автоматжуулсан системийн 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мэдээллийн санг хадгалах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5.1. Мэдээллийн сангийн мэдээллийг хадгалахдаа аливаа цахим халдлагаас хамгаалах, техник хэрэгслийн бүрэн бүтэн байдлыг хангах, шаардлагатай орчин, нөхц</w:t>
      </w:r>
      <w:r w:rsidR="00D220D4" w:rsidRPr="004F636D">
        <w:rPr>
          <w:rFonts w:ascii="Arial" w:hAnsi="Arial" w:cs="Arial"/>
          <w:bCs/>
          <w:sz w:val="24"/>
          <w:szCs w:val="24"/>
          <w:lang w:val="mn-MN"/>
        </w:rPr>
        <w:t>ө</w:t>
      </w:r>
      <w:r w:rsidRPr="004F636D">
        <w:rPr>
          <w:rFonts w:ascii="Arial" w:hAnsi="Arial" w:cs="Arial"/>
          <w:bCs/>
          <w:sz w:val="24"/>
          <w:szCs w:val="24"/>
          <w:lang w:val="mn-MN"/>
        </w:rPr>
        <w:t>лийг бүрдүүлэх арга хэмжээ авна.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5.2.</w:t>
      </w:r>
      <w:r w:rsidR="004F636D" w:rsidRPr="004F636D">
        <w:rPr>
          <w:rFonts w:ascii="Arial" w:hAnsi="Arial" w:cs="Arial"/>
          <w:bCs/>
          <w:sz w:val="24"/>
          <w:szCs w:val="24"/>
        </w:rPr>
        <w:t xml:space="preserve"> </w:t>
      </w:r>
      <w:r w:rsidR="00041EDC" w:rsidRPr="004F636D">
        <w:rPr>
          <w:rFonts w:ascii="Arial" w:hAnsi="Arial" w:cs="Arial"/>
          <w:bCs/>
          <w:sz w:val="24"/>
          <w:szCs w:val="24"/>
          <w:lang w:val="mn-MN"/>
        </w:rPr>
        <w:t xml:space="preserve">Сонгуулийн Ерөнхий хороо, аймаг, нийслэл, сум, дүүргийн сонгуулийн хороод болон санал авах байр нь </w:t>
      </w: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сонгууль зохион байгуулж явуулах хугацаанд автоматжуулах техник хэрэгсэлд хадгалагдаж буй мэдээллийн сангийн бүрэн бүтэн, аюулгүй байдлыг хангах арга хэмжээг хариуцна. 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i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5.3. </w:t>
      </w:r>
      <w:r w:rsidR="0006457B" w:rsidRPr="004F636D">
        <w:rPr>
          <w:rFonts w:ascii="Arial" w:hAnsi="Arial" w:cs="Arial"/>
          <w:bCs/>
          <w:sz w:val="24"/>
          <w:szCs w:val="24"/>
          <w:lang w:val="mn-MN"/>
        </w:rPr>
        <w:t xml:space="preserve">Аймаг, нийслэл, дүүргийн сонгуулийн хорооны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дэргэд ажиллаж буй мэдээллийн технологийн баг</w:t>
      </w:r>
      <w:r w:rsidR="004F636D" w:rsidRPr="004F636D">
        <w:rPr>
          <w:rFonts w:ascii="Arial" w:hAnsi="Arial" w:cs="Arial"/>
          <w:bCs/>
          <w:sz w:val="24"/>
          <w:szCs w:val="24"/>
          <w:lang w:val="mn-MN"/>
        </w:rPr>
        <w:t xml:space="preserve">,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санал авах байранд ажиллаж буй мэдээллийн технологийн даамал нь санал тоолох төхөөрөмжийн мэдээллийн сангийн хадгалалтыг хариуцаж бүрэн бүтэн байдлыг хангах үүрэгтэй.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5.4. Энэ журмын 5.2-т дурдсан сонгуулийн хороод нь сонгуулийн санал авах ажиллагаа дуусч дүнг гаргасны дараа автоматжуулах хэрэгслийн иж бүрдлийг дээд шатны хороонд хүлээлгэн өгөхдөө </w:t>
      </w:r>
      <w:r w:rsidR="00B21959" w:rsidRPr="004F636D">
        <w:rPr>
          <w:rFonts w:ascii="Arial" w:hAnsi="Arial" w:cs="Arial"/>
          <w:bCs/>
          <w:sz w:val="24"/>
          <w:szCs w:val="24"/>
          <w:lang w:val="mn-MN"/>
        </w:rPr>
        <w:t xml:space="preserve">санал тоолох төхөөрөмжийн мэдээллийн санг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хөндлөнгийн халдлагаас хамгаалах үүрэгтэй.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5.5. Сонгуулийн Ерөнхий Хорооны дэргэдэх Мэдээллийн технологийн төв нь </w:t>
      </w:r>
      <w:r w:rsidR="007420F6" w:rsidRPr="004F636D">
        <w:rPr>
          <w:rFonts w:ascii="Arial" w:hAnsi="Arial" w:cs="Arial"/>
          <w:bCs/>
          <w:sz w:val="24"/>
          <w:szCs w:val="24"/>
          <w:lang w:val="mn-MN"/>
        </w:rPr>
        <w:t xml:space="preserve">аймаг, дүүргийн </w:t>
      </w: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сонгуулийн хороодоос автоматжуулах хэрэгслийн иж бүрдлийг хүлээн авахдаа тэдгээрт байгаа мэдээллийн сангийн мэдээллийн бүрэн бүтэн байдлыг шалгана. 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4F636D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5.6. Сонгуулийн Ерөнхий Хорооны дэргэдэх Мэдээллийн технологийн төвийн захирал нь мэдээлэл хадгалахтай холбогдсон зааварчилгааг батлан мөрдүүлж, хадгалалтын байдалд тавих хяналтыг зохион байгуулна. 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5.7. Мэдээллийн санг байнга хадгалах бөгөөд мэдээллийн сан дахь мэдээллийг устгах асуудлыг Сонгуулийн Ерөнхий Хороо хууль тогтоомжид нийцүүлэн шийдвэрлэнэ. </w:t>
      </w:r>
    </w:p>
    <w:p w:rsidR="00753968" w:rsidRPr="004F636D" w:rsidRDefault="00753968" w:rsidP="00753968">
      <w:pPr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</w:p>
    <w:p w:rsidR="00A37A73" w:rsidRPr="004F636D" w:rsidRDefault="00A37A73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Зургаа. </w:t>
      </w:r>
      <w:r w:rsidRPr="004F636D">
        <w:rPr>
          <w:rFonts w:ascii="Arial" w:hAnsi="Arial" w:cs="Arial"/>
          <w:bCs/>
          <w:i/>
          <w:sz w:val="24"/>
          <w:szCs w:val="24"/>
          <w:lang w:val="mn-MN"/>
        </w:rPr>
        <w:t>Сонгуулийн автоматжуулсан системийн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мэдээллийн сангаас мэдээлэл авах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6.1. Мэдээллийн сангаас дор дурдсан этгээд мэдээлэл авах эрх эдэлнэ: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6.1.1</w:t>
      </w:r>
      <w:r w:rsidR="004F636D" w:rsidRPr="004F636D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036C4F" w:rsidRPr="004F636D">
        <w:rPr>
          <w:rFonts w:ascii="Arial" w:hAnsi="Arial" w:cs="Arial"/>
          <w:bCs/>
          <w:sz w:val="24"/>
          <w:szCs w:val="24"/>
          <w:lang w:val="mn-MN"/>
        </w:rPr>
        <w:t xml:space="preserve">Бүх шатны сонгуулийн хороод </w:t>
      </w:r>
      <w:r w:rsidR="00C82089" w:rsidRPr="004F636D">
        <w:rPr>
          <w:rFonts w:ascii="Arial" w:hAnsi="Arial" w:cs="Arial"/>
          <w:bCs/>
          <w:sz w:val="24"/>
          <w:szCs w:val="24"/>
          <w:lang w:val="mn-MN"/>
        </w:rPr>
        <w:t>болон</w:t>
      </w:r>
      <w:r w:rsidR="00036C4F" w:rsidRPr="004F636D">
        <w:rPr>
          <w:rFonts w:ascii="Arial" w:hAnsi="Arial" w:cs="Arial"/>
          <w:bCs/>
          <w:sz w:val="24"/>
          <w:szCs w:val="24"/>
          <w:lang w:val="mn-MN"/>
        </w:rPr>
        <w:t xml:space="preserve"> санал авах байр,</w:t>
      </w:r>
      <w:r w:rsidR="00C82089" w:rsidRPr="004F636D">
        <w:rPr>
          <w:rFonts w:ascii="Arial" w:hAnsi="Arial" w:cs="Arial"/>
          <w:bCs/>
          <w:sz w:val="24"/>
          <w:szCs w:val="24"/>
          <w:lang w:val="mn-MN"/>
        </w:rPr>
        <w:t xml:space="preserve"> мэдэ</w:t>
      </w:r>
      <w:r w:rsidR="00036C4F" w:rsidRPr="004F636D">
        <w:rPr>
          <w:rFonts w:ascii="Arial" w:hAnsi="Arial" w:cs="Arial"/>
          <w:bCs/>
          <w:sz w:val="24"/>
          <w:szCs w:val="24"/>
          <w:lang w:val="mn-MN"/>
        </w:rPr>
        <w:t>эллийн технологийн баг</w:t>
      </w:r>
      <w:r w:rsidR="00C82089" w:rsidRPr="004F636D">
        <w:rPr>
          <w:rFonts w:ascii="Arial" w:hAnsi="Arial" w:cs="Arial"/>
          <w:bCs/>
          <w:sz w:val="24"/>
          <w:szCs w:val="24"/>
          <w:lang w:val="mn-MN"/>
        </w:rPr>
        <w:t xml:space="preserve">, мэдээллийн технологийн даамал нь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тус тусын бүрэн эрх, албаны үүргээ хэрэгжүүлэхэд шаардлагатай мэдээлэл авах;</w:t>
      </w:r>
    </w:p>
    <w:p w:rsidR="009C0325" w:rsidRPr="004F636D" w:rsidRDefault="009C0325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6.1.2. Иргэн нийтэд нээлттэй мэдээллийг авах;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6.1.3. Төрийн байгууллагын хуулиар эрх олгогдсон албан тушаалтан бүрэн эрхийнхээ хүрээнд хамаарах асуудлаар мэдээлэл авах.</w:t>
      </w:r>
    </w:p>
    <w:p w:rsidR="00753968" w:rsidRPr="004F636D" w:rsidRDefault="00753968" w:rsidP="0075396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Долоо. </w:t>
      </w:r>
      <w:r w:rsidRPr="004F636D">
        <w:rPr>
          <w:rFonts w:ascii="Arial" w:hAnsi="Arial" w:cs="Arial"/>
          <w:bCs/>
          <w:i/>
          <w:sz w:val="24"/>
          <w:szCs w:val="24"/>
          <w:lang w:val="mn-MN"/>
        </w:rPr>
        <w:t>Сонгуулийн автоматжуулсан системийн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мэдээллийн сангаас мэдээлэл хэвлэх, хувилах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7.1. Мэдээллийн санд байгаа мэдээллийг хувилах зөвшөөрлийг </w:t>
      </w:r>
      <w:r w:rsidR="0052476D" w:rsidRPr="004F636D">
        <w:rPr>
          <w:rFonts w:ascii="Arial" w:hAnsi="Arial" w:cs="Arial"/>
          <w:bCs/>
          <w:sz w:val="24"/>
          <w:szCs w:val="24"/>
          <w:lang w:val="mn-MN"/>
        </w:rPr>
        <w:t xml:space="preserve">Сонгуулийн Ерөнхий Хороо болон аймаг, нийслэл, сум, дүүргийн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сонгуулийн хорооны нарийн бичгийн дарга өгч, тэр тухай бүртгэл хөтөлнө.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Найм. </w:t>
      </w:r>
      <w:r w:rsidRPr="004F636D">
        <w:rPr>
          <w:rFonts w:ascii="Arial" w:hAnsi="Arial" w:cs="Arial"/>
          <w:bCs/>
          <w:i/>
          <w:sz w:val="24"/>
          <w:szCs w:val="24"/>
          <w:lang w:val="mn-MN"/>
        </w:rPr>
        <w:t>Сонгуулийн автоматжуулсан системийн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мэдээллийн сангаас лавлагаа олгох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8.1. Энэ журмын 9-д заасан мэдээлэл авах эрх бүхий этгээдэд мэдээллийн сангаас лавлагаа олгохдоо </w:t>
      </w:r>
      <w:r w:rsidR="00ED2185" w:rsidRPr="004F636D">
        <w:rPr>
          <w:rFonts w:ascii="Arial" w:hAnsi="Arial" w:cs="Arial"/>
          <w:bCs/>
          <w:sz w:val="24"/>
          <w:szCs w:val="24"/>
          <w:lang w:val="mn-MN"/>
        </w:rPr>
        <w:t xml:space="preserve">Сонгуулийн Ерөнхий Хороо болон аймаг, нийслэл, сум, дүүргийн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сонгуулийн хороонд бичгээр гаргасан хүсэлтийг үндэслэн хорооны дарга, нарийн бичгийн дарга шийдвэрлэх бөгөөд шаардлагатай бол хорооны хуралдаанд хэлэлцүүлнэ.</w:t>
      </w:r>
    </w:p>
    <w:p w:rsidR="00753968" w:rsidRPr="004F636D" w:rsidRDefault="00753968" w:rsidP="00753968">
      <w:pPr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8.2. Лавлагааг</w:t>
      </w:r>
      <w:r w:rsidR="004F636D" w:rsidRPr="004F636D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цаасан</w:t>
      </w:r>
      <w:r w:rsidR="0086086A" w:rsidRPr="004F636D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B21959" w:rsidRPr="004F636D">
        <w:rPr>
          <w:rFonts w:ascii="Arial" w:hAnsi="Arial" w:cs="Arial"/>
          <w:bCs/>
          <w:sz w:val="24"/>
          <w:szCs w:val="24"/>
          <w:lang w:val="mn-MN"/>
        </w:rPr>
        <w:t>болон цахим</w:t>
      </w:r>
      <w:r w:rsidR="00B21959" w:rsidRPr="004F636D">
        <w:rPr>
          <w:rFonts w:ascii="Arial" w:hAnsi="Arial" w:cs="Arial"/>
          <w:bCs/>
          <w:sz w:val="24"/>
          <w:szCs w:val="24"/>
        </w:rPr>
        <w:t xml:space="preserve"> </w:t>
      </w:r>
      <w:r w:rsidRPr="004F636D">
        <w:rPr>
          <w:rFonts w:ascii="Arial" w:hAnsi="Arial" w:cs="Arial"/>
          <w:bCs/>
          <w:sz w:val="24"/>
          <w:szCs w:val="24"/>
          <w:lang w:val="mn-MN"/>
        </w:rPr>
        <w:t>хэлбэрээр олгоно.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8.3. Лавлагаа олгосон тухай бүртгэлийг ажил үүргийн хуваарийн дагуу хорооны гишүүн буюу ажилтан хөтөлнө.</w:t>
      </w:r>
    </w:p>
    <w:p w:rsidR="00753968" w:rsidRPr="004F636D" w:rsidRDefault="00753968" w:rsidP="007539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Ес. Мэдээллийн сангийн нийтэд ил байх мэдээлэл,</w:t>
      </w:r>
    </w:p>
    <w:p w:rsidR="00753968" w:rsidRPr="004F636D" w:rsidRDefault="00753968" w:rsidP="0075396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мэдээлэл авах журам</w:t>
      </w:r>
    </w:p>
    <w:p w:rsidR="00753968" w:rsidRPr="004F636D" w:rsidRDefault="00753968" w:rsidP="00753968">
      <w:pPr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 xml:space="preserve">9.1. Энэ журмын 2.1.1-д зааснаас бусад хуулиар нууцад хамааруулаагүй мэдээлэл нийтэд ил байна. </w:t>
      </w: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753968" w:rsidRPr="004F636D" w:rsidRDefault="00753968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9.2. Нийтэд ил байх мэдээлэлтэй танилцах, лавлагаа авах хүсэлтээ тухайн мэдээлэл хадгалагдаж буй сонгуулийн хороонд бичгээр гаргаж, энэ журмын 8.1, 8.2-т заасны дагуу танилцах буюу лавлагаа авч болно.</w:t>
      </w:r>
    </w:p>
    <w:p w:rsidR="009C0325" w:rsidRPr="004F636D" w:rsidRDefault="009C0325" w:rsidP="00753968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305E8A" w:rsidRPr="004F636D" w:rsidRDefault="00753968" w:rsidP="0029640C">
      <w:pPr>
        <w:pStyle w:val="ListParagraph"/>
        <w:tabs>
          <w:tab w:val="left" w:pos="0"/>
        </w:tabs>
        <w:spacing w:line="240" w:lineRule="auto"/>
        <w:ind w:left="0" w:firstLine="360"/>
        <w:jc w:val="both"/>
        <w:rPr>
          <w:rFonts w:ascii="Arial" w:hAnsi="Arial" w:cs="Arial"/>
          <w:bCs/>
          <w:i/>
          <w:sz w:val="24"/>
          <w:szCs w:val="24"/>
          <w:lang w:val="mn-MN"/>
        </w:rPr>
      </w:pPr>
      <w:r w:rsidRPr="004F636D">
        <w:rPr>
          <w:rFonts w:ascii="Arial" w:hAnsi="Arial" w:cs="Arial"/>
          <w:bCs/>
          <w:i/>
          <w:sz w:val="24"/>
          <w:szCs w:val="24"/>
          <w:lang w:val="mn-MN"/>
        </w:rPr>
        <w:t>/Энэ журамд Сонгуулийн Ерөнхий Хорооны 2012 оны 10 дугаар сарын 19-ний өдрийн 153, 2013 оны 4 дүгээр сарын 14-ний өдрийн 28 дугаар тогтоолоор орсон нэмэлт, өөрчлөлтүүдийг тусгав./</w:t>
      </w:r>
      <w:r w:rsidR="0029640C" w:rsidRPr="004F636D">
        <w:rPr>
          <w:rFonts w:ascii="Arial" w:hAnsi="Arial" w:cs="Arial"/>
          <w:bCs/>
          <w:i/>
          <w:sz w:val="24"/>
          <w:szCs w:val="24"/>
          <w:lang w:val="mn-MN"/>
        </w:rPr>
        <w:t xml:space="preserve"> </w:t>
      </w:r>
    </w:p>
    <w:p w:rsidR="00847851" w:rsidRPr="004F636D" w:rsidRDefault="00753968" w:rsidP="00305E8A">
      <w:pPr>
        <w:pStyle w:val="ListParagraph"/>
        <w:tabs>
          <w:tab w:val="left" w:pos="0"/>
        </w:tabs>
        <w:spacing w:line="240" w:lineRule="auto"/>
        <w:ind w:left="0" w:firstLine="360"/>
        <w:jc w:val="center"/>
        <w:rPr>
          <w:rFonts w:ascii="Arial" w:hAnsi="Arial" w:cs="Arial"/>
          <w:bCs/>
          <w:sz w:val="24"/>
          <w:szCs w:val="24"/>
        </w:rPr>
      </w:pPr>
      <w:r w:rsidRPr="004F636D">
        <w:rPr>
          <w:rFonts w:ascii="Arial" w:hAnsi="Arial" w:cs="Arial"/>
          <w:bCs/>
          <w:sz w:val="24"/>
          <w:szCs w:val="24"/>
          <w:lang w:val="mn-MN"/>
        </w:rPr>
        <w:t>---оОо---</w:t>
      </w:r>
    </w:p>
    <w:sectPr w:rsidR="00847851" w:rsidRPr="004F636D" w:rsidSect="00A37A7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7DA"/>
    <w:multiLevelType w:val="multilevel"/>
    <w:tmpl w:val="165C09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3C5116"/>
    <w:multiLevelType w:val="hybridMultilevel"/>
    <w:tmpl w:val="0B40DA00"/>
    <w:lvl w:ilvl="0" w:tplc="0F929E3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33B"/>
    <w:multiLevelType w:val="multilevel"/>
    <w:tmpl w:val="EC3E8D90"/>
    <w:lvl w:ilvl="0">
      <w:start w:val="1"/>
      <w:numFmt w:val="decimal"/>
      <w:lvlText w:val="3.4.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8622288"/>
    <w:multiLevelType w:val="hybridMultilevel"/>
    <w:tmpl w:val="0FDE034E"/>
    <w:lvl w:ilvl="0" w:tplc="DBD8B14A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22526"/>
    <w:multiLevelType w:val="hybridMultilevel"/>
    <w:tmpl w:val="20BA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0666E"/>
    <w:multiLevelType w:val="multilevel"/>
    <w:tmpl w:val="C39E0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A14EEF"/>
    <w:multiLevelType w:val="multilevel"/>
    <w:tmpl w:val="09E2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57F7E"/>
    <w:rsid w:val="00014E07"/>
    <w:rsid w:val="00026743"/>
    <w:rsid w:val="00030991"/>
    <w:rsid w:val="000351D1"/>
    <w:rsid w:val="00036C4F"/>
    <w:rsid w:val="0004093E"/>
    <w:rsid w:val="00041EDC"/>
    <w:rsid w:val="0006457B"/>
    <w:rsid w:val="00074328"/>
    <w:rsid w:val="000D0427"/>
    <w:rsid w:val="000E1DFD"/>
    <w:rsid w:val="000F6188"/>
    <w:rsid w:val="001121ED"/>
    <w:rsid w:val="00157F7E"/>
    <w:rsid w:val="00165F35"/>
    <w:rsid w:val="00183686"/>
    <w:rsid w:val="0018532E"/>
    <w:rsid w:val="0019233B"/>
    <w:rsid w:val="001D6156"/>
    <w:rsid w:val="001E1A10"/>
    <w:rsid w:val="001E1D7E"/>
    <w:rsid w:val="001F2A3D"/>
    <w:rsid w:val="001F472D"/>
    <w:rsid w:val="00204B39"/>
    <w:rsid w:val="0021262E"/>
    <w:rsid w:val="00216BC5"/>
    <w:rsid w:val="00217413"/>
    <w:rsid w:val="002954E6"/>
    <w:rsid w:val="0029640C"/>
    <w:rsid w:val="002A1B6C"/>
    <w:rsid w:val="002D655F"/>
    <w:rsid w:val="002F392D"/>
    <w:rsid w:val="00305DE6"/>
    <w:rsid w:val="00305E8A"/>
    <w:rsid w:val="00336568"/>
    <w:rsid w:val="0034007E"/>
    <w:rsid w:val="00355C74"/>
    <w:rsid w:val="00393806"/>
    <w:rsid w:val="003E00EE"/>
    <w:rsid w:val="003E3249"/>
    <w:rsid w:val="003E7D63"/>
    <w:rsid w:val="004065A4"/>
    <w:rsid w:val="00426234"/>
    <w:rsid w:val="004377D6"/>
    <w:rsid w:val="0044480E"/>
    <w:rsid w:val="00487845"/>
    <w:rsid w:val="004903F9"/>
    <w:rsid w:val="004932A5"/>
    <w:rsid w:val="004953CA"/>
    <w:rsid w:val="004A304D"/>
    <w:rsid w:val="004F636D"/>
    <w:rsid w:val="005169FE"/>
    <w:rsid w:val="0052476D"/>
    <w:rsid w:val="005323B8"/>
    <w:rsid w:val="00573573"/>
    <w:rsid w:val="00576577"/>
    <w:rsid w:val="0058358F"/>
    <w:rsid w:val="005A400B"/>
    <w:rsid w:val="005B1F5B"/>
    <w:rsid w:val="005B5FE9"/>
    <w:rsid w:val="005D1AB0"/>
    <w:rsid w:val="005F061D"/>
    <w:rsid w:val="00600345"/>
    <w:rsid w:val="0060228E"/>
    <w:rsid w:val="0060385E"/>
    <w:rsid w:val="00603D59"/>
    <w:rsid w:val="0060725C"/>
    <w:rsid w:val="00623B63"/>
    <w:rsid w:val="00626278"/>
    <w:rsid w:val="00646996"/>
    <w:rsid w:val="006801C8"/>
    <w:rsid w:val="00692FF6"/>
    <w:rsid w:val="006945AD"/>
    <w:rsid w:val="006A58FE"/>
    <w:rsid w:val="006B059C"/>
    <w:rsid w:val="006B2006"/>
    <w:rsid w:val="006B6DDC"/>
    <w:rsid w:val="006C6DCB"/>
    <w:rsid w:val="006D6605"/>
    <w:rsid w:val="006E2419"/>
    <w:rsid w:val="00725D26"/>
    <w:rsid w:val="007420F6"/>
    <w:rsid w:val="00745314"/>
    <w:rsid w:val="00753968"/>
    <w:rsid w:val="00772C5E"/>
    <w:rsid w:val="00794FCA"/>
    <w:rsid w:val="007B7FEB"/>
    <w:rsid w:val="007D2AB3"/>
    <w:rsid w:val="00812C1F"/>
    <w:rsid w:val="00833711"/>
    <w:rsid w:val="008462E2"/>
    <w:rsid w:val="00846714"/>
    <w:rsid w:val="00847851"/>
    <w:rsid w:val="0086086A"/>
    <w:rsid w:val="00890DD2"/>
    <w:rsid w:val="008B10BB"/>
    <w:rsid w:val="008B5E9D"/>
    <w:rsid w:val="008E626C"/>
    <w:rsid w:val="008F622C"/>
    <w:rsid w:val="009135C8"/>
    <w:rsid w:val="00944ACF"/>
    <w:rsid w:val="00957380"/>
    <w:rsid w:val="00963DB4"/>
    <w:rsid w:val="00971D2A"/>
    <w:rsid w:val="009C0325"/>
    <w:rsid w:val="009D30AA"/>
    <w:rsid w:val="00A341EB"/>
    <w:rsid w:val="00A37A73"/>
    <w:rsid w:val="00A41D0A"/>
    <w:rsid w:val="00A67040"/>
    <w:rsid w:val="00A86035"/>
    <w:rsid w:val="00AB4B77"/>
    <w:rsid w:val="00AD315C"/>
    <w:rsid w:val="00AE1092"/>
    <w:rsid w:val="00AE37D6"/>
    <w:rsid w:val="00AE4606"/>
    <w:rsid w:val="00B00553"/>
    <w:rsid w:val="00B20A40"/>
    <w:rsid w:val="00B21959"/>
    <w:rsid w:val="00B25FA3"/>
    <w:rsid w:val="00B35BA2"/>
    <w:rsid w:val="00B369A3"/>
    <w:rsid w:val="00B424DA"/>
    <w:rsid w:val="00BB75E2"/>
    <w:rsid w:val="00BE7C3D"/>
    <w:rsid w:val="00BF237D"/>
    <w:rsid w:val="00BF4C3E"/>
    <w:rsid w:val="00C05F44"/>
    <w:rsid w:val="00C232DF"/>
    <w:rsid w:val="00C500CE"/>
    <w:rsid w:val="00C816D6"/>
    <w:rsid w:val="00C82089"/>
    <w:rsid w:val="00C87695"/>
    <w:rsid w:val="00CA5960"/>
    <w:rsid w:val="00CE727E"/>
    <w:rsid w:val="00CE7DA7"/>
    <w:rsid w:val="00CF2F6F"/>
    <w:rsid w:val="00CF43D2"/>
    <w:rsid w:val="00CF4F80"/>
    <w:rsid w:val="00D011D0"/>
    <w:rsid w:val="00D21B68"/>
    <w:rsid w:val="00D21D57"/>
    <w:rsid w:val="00D220D4"/>
    <w:rsid w:val="00D231BF"/>
    <w:rsid w:val="00D420C2"/>
    <w:rsid w:val="00D4629B"/>
    <w:rsid w:val="00D55FDD"/>
    <w:rsid w:val="00D627BE"/>
    <w:rsid w:val="00D6624E"/>
    <w:rsid w:val="00D7597E"/>
    <w:rsid w:val="00D8737B"/>
    <w:rsid w:val="00D97184"/>
    <w:rsid w:val="00DA734B"/>
    <w:rsid w:val="00DC5DFF"/>
    <w:rsid w:val="00DD1DD0"/>
    <w:rsid w:val="00DE2192"/>
    <w:rsid w:val="00E04CB9"/>
    <w:rsid w:val="00E1266D"/>
    <w:rsid w:val="00E43B45"/>
    <w:rsid w:val="00E536C0"/>
    <w:rsid w:val="00E55A3B"/>
    <w:rsid w:val="00E55EDD"/>
    <w:rsid w:val="00E61C92"/>
    <w:rsid w:val="00E90AC5"/>
    <w:rsid w:val="00EA4C15"/>
    <w:rsid w:val="00EB358C"/>
    <w:rsid w:val="00EC70B2"/>
    <w:rsid w:val="00ED2185"/>
    <w:rsid w:val="00ED2565"/>
    <w:rsid w:val="00EF5DDE"/>
    <w:rsid w:val="00F03DDC"/>
    <w:rsid w:val="00F05972"/>
    <w:rsid w:val="00F157CE"/>
    <w:rsid w:val="00F172B3"/>
    <w:rsid w:val="00F3372F"/>
    <w:rsid w:val="00F5262F"/>
    <w:rsid w:val="00F54E06"/>
    <w:rsid w:val="00F57E53"/>
    <w:rsid w:val="00F830D5"/>
    <w:rsid w:val="00FB3FEB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7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7E"/>
    <w:pPr>
      <w:ind w:left="720"/>
      <w:contextualSpacing/>
    </w:pPr>
  </w:style>
  <w:style w:type="character" w:styleId="Strong">
    <w:name w:val="Strong"/>
    <w:uiPriority w:val="22"/>
    <w:qFormat/>
    <w:rsid w:val="00B35BA2"/>
    <w:rPr>
      <w:b/>
      <w:bCs/>
    </w:rPr>
  </w:style>
  <w:style w:type="paragraph" w:customStyle="1" w:styleId="msghead">
    <w:name w:val="msg_head"/>
    <w:basedOn w:val="Normal"/>
    <w:rsid w:val="00B3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3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968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968"/>
    <w:rPr>
      <w:rFonts w:eastAsiaTheme="minorEastAsia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68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00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2016-04-22T06:47:00Z</cp:lastPrinted>
  <dcterms:created xsi:type="dcterms:W3CDTF">2016-05-02T05:41:00Z</dcterms:created>
  <dcterms:modified xsi:type="dcterms:W3CDTF">2016-05-02T05:41:00Z</dcterms:modified>
</cp:coreProperties>
</file>